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WORLD PROJECTS – Compliance Statement</w:t>
      </w:r>
    </w:p>
    <w:p>
      <w:r>
        <w:t>At WORLD PROJECTS, we operate strictly within internationally recognized compliance frameworks, ensuring that every transaction is transparent, lawful, and secure.</w:t>
      </w:r>
    </w:p>
    <w:p/>
    <w:p>
      <w:r>
        <w:t>Our principles include:</w:t>
      </w:r>
    </w:p>
    <w:p>
      <w:r>
        <w:t>1. No Upfront Fees – We do not request or accept any advance payments before delivery of financial instruments or services.</w:t>
      </w:r>
    </w:p>
    <w:p>
      <w:r>
        <w:t>2. Bank-to-Bank Procedures Only – All transactions must flow directly between licensed financial institutions with full SWIFT confirmation.</w:t>
      </w:r>
    </w:p>
    <w:p>
      <w:r>
        <w:t>3. AML/KYC Standards – We adhere to Anti-Money Laundering (AML) and Know Your Customer (KYC) protocols, requiring verification of all counterparties.</w:t>
      </w:r>
    </w:p>
    <w:p>
      <w:r>
        <w:t>4. Transparency &amp; Integrity – Every step is documented and conducted in good faith, protecting both our partners and our institution.</w:t>
      </w:r>
    </w:p>
    <w:p>
      <w:r>
        <w:t>5. Institutional Engagement – We only work with genuine issuers, banks, and institutional receivers under verifiable structures.</w:t>
      </w:r>
    </w:p>
    <w:p/>
    <w:p>
      <w:r>
        <w:t>This compliance framework is the foundation of our credibility and the reason our partners trust us for safe and effective financial architecture.</w:t>
      </w:r>
    </w:p>
    <w:p/>
    <w:p>
      <w:r>
        <w:t>Kind regards,</w:t>
      </w:r>
    </w:p>
    <w:p>
      <w:r>
        <w:t>KOK34095</w:t>
      </w:r>
    </w:p>
    <w:p>
      <w:r>
        <w:t>Strategic Financial Architect</w:t>
      </w:r>
    </w:p>
    <w:p>
      <w:r>
        <w:t>WORLD PROJECTS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